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F8EE" w14:textId="77777777" w:rsidR="00B3431C" w:rsidRDefault="00B3431C">
      <w:pPr>
        <w:rPr>
          <w:b/>
          <w:sz w:val="16"/>
          <w:szCs w:val="16"/>
        </w:rPr>
      </w:pPr>
    </w:p>
    <w:p w14:paraId="610E8DD7" w14:textId="77777777" w:rsidR="00B3431C" w:rsidRDefault="00362E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Reflection Tool for Rapid Program Change </w:t>
      </w:r>
    </w:p>
    <w:p w14:paraId="06644E65" w14:textId="77777777" w:rsidR="00B3431C" w:rsidRDefault="00B343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2031A3" w14:textId="3050015D" w:rsidR="00B3431C" w:rsidRDefault="00362E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 xml:space="preserve">The purpose of this reflection tool is to support evaluative thinking: a process by which we can improve and continue to strategically develop what we do. These questions can be used by an individual, a working team, or an organization. They can focus on a small project or a major program. Use this tool periodically during this time of crisis to help make inevitable program pivots that better </w:t>
      </w:r>
      <w:r w:rsidR="00B20125">
        <w:rPr>
          <w:color w:val="000000"/>
          <w:sz w:val="26"/>
          <w:szCs w:val="26"/>
        </w:rPr>
        <w:t>affect</w:t>
      </w:r>
      <w:r>
        <w:rPr>
          <w:color w:val="000000"/>
          <w:sz w:val="26"/>
          <w:szCs w:val="26"/>
        </w:rPr>
        <w:t xml:space="preserve"> strategic and effective change. </w:t>
      </w:r>
    </w:p>
    <w:p w14:paraId="5B1D15DA" w14:textId="77777777" w:rsidR="00B3431C" w:rsidRDefault="00362E7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44"/>
          <w:szCs w:val="44"/>
        </w:rPr>
      </w:pPr>
      <w:r>
        <w:rPr>
          <w:b/>
          <w:i/>
          <w:color w:val="000000"/>
          <w:sz w:val="44"/>
          <w:szCs w:val="44"/>
        </w:rPr>
        <w:t xml:space="preserve"> </w:t>
      </w:r>
    </w:p>
    <w:p w14:paraId="05DC2BA8" w14:textId="5F852E2B" w:rsidR="00B3431C" w:rsidRDefault="00362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In what ways have you changed/modified your program’s focus/emphasis, content or process/delivery methods, as a result of C</w:t>
      </w:r>
      <w:r w:rsidR="00897348">
        <w:rPr>
          <w:i/>
          <w:color w:val="000000"/>
          <w:sz w:val="26"/>
          <w:szCs w:val="26"/>
        </w:rPr>
        <w:t>OVID-</w:t>
      </w:r>
      <w:r>
        <w:rPr>
          <w:i/>
          <w:color w:val="000000"/>
          <w:sz w:val="26"/>
          <w:szCs w:val="26"/>
        </w:rPr>
        <w:t xml:space="preserve">19? </w:t>
      </w:r>
    </w:p>
    <w:p w14:paraId="6A838F3D" w14:textId="77777777" w:rsidR="00B3431C" w:rsidRDefault="00B3431C">
      <w:pPr>
        <w:rPr>
          <w:i/>
          <w:sz w:val="44"/>
          <w:szCs w:val="44"/>
        </w:rPr>
      </w:pPr>
    </w:p>
    <w:p w14:paraId="541B14BD" w14:textId="48CE1BDA" w:rsidR="00B3431C" w:rsidRDefault="00362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So far, what results are you noticing from your decisions and actions? (Which innovations are working? What’s not working or especially challenging?)</w:t>
      </w:r>
    </w:p>
    <w:p w14:paraId="2DF780FC" w14:textId="77777777" w:rsidR="00B3431C" w:rsidRDefault="00B3431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44"/>
          <w:szCs w:val="44"/>
        </w:rPr>
      </w:pPr>
    </w:p>
    <w:p w14:paraId="0B1C13B9" w14:textId="77777777" w:rsidR="00B3431C" w:rsidRDefault="00362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Where are the opportunities for short-term/immediate success?</w:t>
      </w:r>
    </w:p>
    <w:p w14:paraId="4F2D6152" w14:textId="77777777" w:rsidR="00B3431C" w:rsidRDefault="00B3431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44"/>
          <w:szCs w:val="44"/>
        </w:rPr>
      </w:pPr>
    </w:p>
    <w:p w14:paraId="1AFB5AB6" w14:textId="260F6126" w:rsidR="00B3431C" w:rsidRDefault="00362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Where are the opportunities for making substantial change / to meet your long-term vision?</w:t>
      </w:r>
    </w:p>
    <w:p w14:paraId="37D3BC61" w14:textId="77777777" w:rsidR="00B3431C" w:rsidRDefault="00B3431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44"/>
          <w:szCs w:val="44"/>
        </w:rPr>
      </w:pPr>
    </w:p>
    <w:p w14:paraId="50EE9AEC" w14:textId="77056700" w:rsidR="00B3431C" w:rsidRDefault="00362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How can we fine-tune our strategies to be more effective at meeting our short and long-term goals?  </w:t>
      </w:r>
    </w:p>
    <w:p w14:paraId="6CBA26B9" w14:textId="77777777" w:rsidR="00B3431C" w:rsidRDefault="00B3431C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44"/>
          <w:szCs w:val="44"/>
        </w:rPr>
      </w:pPr>
    </w:p>
    <w:p w14:paraId="3C6C82FD" w14:textId="2B00A6F2" w:rsidR="00B3431C" w:rsidRDefault="00362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What resources (broadly defined) would help you pivot your programming and do so more successfully?</w:t>
      </w:r>
      <w:r w:rsidR="00B20125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What inroads do you see to accessing those resources (e.g., through new and existing partnerships, repurposing of events or funding streams, etc.)?</w:t>
      </w:r>
    </w:p>
    <w:p w14:paraId="29EA0073" w14:textId="77777777" w:rsidR="00B3431C" w:rsidRDefault="00B3431C">
      <w:pPr>
        <w:rPr>
          <w:sz w:val="24"/>
          <w:szCs w:val="24"/>
        </w:rPr>
      </w:pPr>
    </w:p>
    <w:p w14:paraId="111FFBC5" w14:textId="77777777" w:rsidR="00B3431C" w:rsidRDefault="00B3431C">
      <w:pPr>
        <w:rPr>
          <w:sz w:val="24"/>
          <w:szCs w:val="24"/>
        </w:rPr>
      </w:pPr>
    </w:p>
    <w:p w14:paraId="130A6CB1" w14:textId="77777777" w:rsidR="00B3431C" w:rsidRDefault="00B3431C">
      <w:pPr>
        <w:rPr>
          <w:sz w:val="24"/>
          <w:szCs w:val="24"/>
        </w:rPr>
      </w:pPr>
    </w:p>
    <w:p w14:paraId="11F877A7" w14:textId="77777777" w:rsidR="00B3431C" w:rsidRDefault="00362E7C">
      <w:pPr>
        <w:rPr>
          <w:sz w:val="20"/>
          <w:szCs w:val="20"/>
        </w:rPr>
      </w:pPr>
      <w:r>
        <w:rPr>
          <w:sz w:val="20"/>
          <w:szCs w:val="20"/>
        </w:rPr>
        <w:t xml:space="preserve">This tool was developed for the GREW Project Learning Community Session entitled: </w:t>
      </w:r>
      <w:r>
        <w:rPr>
          <w:i/>
          <w:sz w:val="20"/>
          <w:szCs w:val="20"/>
        </w:rPr>
        <w:t>Reflection in a Time of Rapid Response: How to Better Pivot Beginning Farmer and Rancher Programming in Times of COVID-19</w:t>
      </w:r>
      <w:r>
        <w:rPr>
          <w:sz w:val="20"/>
          <w:szCs w:val="20"/>
        </w:rPr>
        <w:t xml:space="preserve">, May 7, 2020. It was adapted from Baughman, S.; Archibald, T. &amp; Vines, K. 2020. </w:t>
      </w:r>
      <w:r>
        <w:rPr>
          <w:sz w:val="20"/>
          <w:szCs w:val="20"/>
          <w:u w:val="single"/>
        </w:rPr>
        <w:t>COVID19 Response Reflection Tool</w:t>
      </w:r>
      <w:r>
        <w:rPr>
          <w:sz w:val="20"/>
          <w:szCs w:val="20"/>
        </w:rPr>
        <w:t>. Virginia Cooperative Extension – Virginia Tech &amp; Virginia State University.</w:t>
      </w:r>
    </w:p>
    <w:sectPr w:rsidR="00B343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38F0" w14:textId="77777777" w:rsidR="00713556" w:rsidRDefault="00713556">
      <w:r>
        <w:separator/>
      </w:r>
    </w:p>
  </w:endnote>
  <w:endnote w:type="continuationSeparator" w:id="0">
    <w:p w14:paraId="24A71A2E" w14:textId="77777777" w:rsidR="00713556" w:rsidRDefault="007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EA26" w14:textId="77777777" w:rsidR="00B3431C" w:rsidRDefault="00362E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5094DD87" wp14:editId="7A035B68">
          <wp:extent cx="5816600" cy="5334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6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ED4E" w14:textId="77777777" w:rsidR="00713556" w:rsidRDefault="00713556">
      <w:r>
        <w:separator/>
      </w:r>
    </w:p>
  </w:footnote>
  <w:footnote w:type="continuationSeparator" w:id="0">
    <w:p w14:paraId="389BE208" w14:textId="77777777" w:rsidR="00713556" w:rsidRDefault="0071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5F0B" w14:textId="77777777" w:rsidR="00B3431C" w:rsidRDefault="00362E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 wp14:anchorId="70A77D47" wp14:editId="647DFE62">
          <wp:extent cx="2877277" cy="645543"/>
          <wp:effectExtent l="0" t="0" r="0" b="0"/>
          <wp:docPr id="1" name="image1.png" descr="../../../../../../../Box/BFRDP-GREW/Outreach/Logos/GREW%20Logo%20with%20tag%20line%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Box/BFRDP-GREW/Outreach/Logos/GREW%20Logo%20with%20tag%20line%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7277" cy="645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65D9"/>
    <w:multiLevelType w:val="multilevel"/>
    <w:tmpl w:val="248C8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1C"/>
    <w:rsid w:val="00285A27"/>
    <w:rsid w:val="003155C1"/>
    <w:rsid w:val="00362E7C"/>
    <w:rsid w:val="00493D85"/>
    <w:rsid w:val="00713556"/>
    <w:rsid w:val="00897348"/>
    <w:rsid w:val="00AB0640"/>
    <w:rsid w:val="00B20125"/>
    <w:rsid w:val="00B3431C"/>
    <w:rsid w:val="00B643DF"/>
    <w:rsid w:val="00CE324F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37700"/>
  <w15:docId w15:val="{992909C1-61B3-D645-B894-2759B05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UCSC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2020-05-07T00:18:00Z</dcterms:created>
  <dcterms:modified xsi:type="dcterms:W3CDTF">2020-05-07T00:18:00Z</dcterms:modified>
</cp:coreProperties>
</file>